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5F" w:rsidRPr="00CB3DD9" w:rsidRDefault="0086785F" w:rsidP="0086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CB3DD9">
        <w:rPr>
          <w:rFonts w:ascii="Times New Roman" w:hAnsi="Times New Roman" w:cs="Times New Roman"/>
          <w:b/>
          <w:sz w:val="24"/>
          <w:lang w:val="pt-PT"/>
        </w:rPr>
        <w:t>Programa de Assistência para Projectos Comunitários (APC)</w:t>
      </w:r>
    </w:p>
    <w:p w:rsidR="0086785F" w:rsidRPr="00CB3DD9" w:rsidRDefault="0086785F" w:rsidP="0086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CB3DD9">
        <w:rPr>
          <w:rFonts w:ascii="Times New Roman" w:hAnsi="Times New Roman" w:cs="Times New Roman"/>
          <w:b/>
          <w:bCs/>
          <w:iCs/>
          <w:sz w:val="24"/>
          <w:lang w:val="pt-PT"/>
        </w:rPr>
        <w:t>A</w:t>
      </w:r>
      <w:r w:rsidRPr="00CB3DD9">
        <w:rPr>
          <w:rFonts w:ascii="Times New Roman" w:hAnsi="Times New Roman" w:cs="Times New Roman" w:hint="eastAsia"/>
          <w:b/>
          <w:bCs/>
          <w:iCs/>
          <w:sz w:val="24"/>
          <w:lang w:val="pt-PT"/>
        </w:rPr>
        <w:t xml:space="preserve"> Primeira</w:t>
      </w:r>
      <w:r w:rsidRPr="00CB3DD9">
        <w:rPr>
          <w:rFonts w:ascii="Times New Roman" w:hAnsi="Times New Roman" w:cs="Times New Roman"/>
          <w:b/>
          <w:bCs/>
          <w:iCs/>
          <w:sz w:val="24"/>
          <w:lang w:val="pt-PT"/>
        </w:rPr>
        <w:t xml:space="preserve"> </w:t>
      </w:r>
      <w:r w:rsidRPr="00CB3DD9">
        <w:rPr>
          <w:rFonts w:ascii="Times New Roman" w:hAnsi="Times New Roman" w:cs="Times New Roman" w:hint="eastAsia"/>
          <w:b/>
          <w:bCs/>
          <w:iCs/>
          <w:sz w:val="24"/>
          <w:lang w:val="pt-PT"/>
        </w:rPr>
        <w:t>C</w:t>
      </w:r>
      <w:r w:rsidRPr="00CB3DD9">
        <w:rPr>
          <w:rFonts w:ascii="Times New Roman" w:hAnsi="Times New Roman" w:cs="Times New Roman"/>
          <w:b/>
          <w:bCs/>
          <w:iCs/>
          <w:sz w:val="24"/>
          <w:lang w:val="pt-PT"/>
        </w:rPr>
        <w:t xml:space="preserve">erimônias de </w:t>
      </w:r>
      <w:r w:rsidRPr="00CB3DD9">
        <w:rPr>
          <w:rFonts w:ascii="Times New Roman" w:hAnsi="Times New Roman" w:cs="Times New Roman" w:hint="eastAsia"/>
          <w:b/>
          <w:bCs/>
          <w:iCs/>
          <w:sz w:val="24"/>
          <w:lang w:val="pt-PT"/>
        </w:rPr>
        <w:t>A</w:t>
      </w:r>
      <w:r w:rsidRPr="00CB3DD9">
        <w:rPr>
          <w:rFonts w:ascii="Times New Roman" w:hAnsi="Times New Roman" w:cs="Times New Roman"/>
          <w:b/>
          <w:bCs/>
          <w:iCs/>
          <w:sz w:val="24"/>
          <w:lang w:val="pt-PT"/>
        </w:rPr>
        <w:t xml:space="preserve">ssinatura do Contrato de Doação </w:t>
      </w:r>
      <w:r w:rsidRPr="00CB3DD9">
        <w:rPr>
          <w:rFonts w:ascii="Times New Roman" w:hAnsi="Times New Roman" w:cs="Times New Roman"/>
          <w:b/>
          <w:sz w:val="24"/>
          <w:lang w:val="pt-PT"/>
        </w:rPr>
        <w:t>2011</w:t>
      </w:r>
    </w:p>
    <w:p w:rsidR="0086785F" w:rsidRPr="00CB3DD9" w:rsidRDefault="0086785F" w:rsidP="0086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CB3DD9">
        <w:rPr>
          <w:rFonts w:ascii="Times New Roman" w:hAnsi="Times New Roman" w:cs="Times New Roman"/>
          <w:b/>
          <w:sz w:val="24"/>
          <w:lang w:val="pt-PT"/>
        </w:rPr>
        <w:t>“O Projeto de Renovação da EPC Vinte Cinco de Junho na Ilha de Moçambique, Nampula”</w:t>
      </w:r>
      <w:r w:rsidR="00463344">
        <w:rPr>
          <w:rFonts w:ascii="Times New Roman" w:hAnsi="Times New Roman" w:cs="Times New Roman"/>
          <w:b/>
          <w:sz w:val="24"/>
          <w:lang w:val="pt-PT"/>
        </w:rPr>
        <w:t xml:space="preserve"> e</w:t>
      </w:r>
    </w:p>
    <w:p w:rsidR="0086785F" w:rsidRPr="00CB3DD9" w:rsidRDefault="0086785F" w:rsidP="0086785F">
      <w:pPr>
        <w:spacing w:after="0" w:line="240" w:lineRule="auto"/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</w:pPr>
      <w:r w:rsidRPr="00CB3DD9"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  <w:t>“O Projeto de Construção e Reabilitação de Furos na Machava, Maputo”</w:t>
      </w:r>
    </w:p>
    <w:p w:rsidR="0006235A" w:rsidRPr="00CB3DD9" w:rsidRDefault="0006235A" w:rsidP="00BD73E9">
      <w:pPr>
        <w:spacing w:after="0" w:line="240" w:lineRule="auto"/>
        <w:jc w:val="center"/>
        <w:rPr>
          <w:rFonts w:ascii="ＭＳ ゴシック" w:eastAsia="ＭＳ ゴシック" w:cs="ＭＳ ゴシック"/>
          <w:sz w:val="21"/>
          <w:szCs w:val="24"/>
          <w:lang w:val="pt-PT"/>
        </w:rPr>
      </w:pPr>
    </w:p>
    <w:p w:rsidR="0086785F" w:rsidRPr="00CB3DD9" w:rsidRDefault="0086785F" w:rsidP="0086785F">
      <w:pPr>
        <w:ind w:firstLine="720"/>
        <w:rPr>
          <w:rFonts w:ascii="Times New Roman" w:hAnsi="Times New Roman" w:cs="Times New Roman"/>
          <w:sz w:val="24"/>
          <w:szCs w:val="26"/>
          <w:lang w:val="pt-PT"/>
        </w:rPr>
      </w:pP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No día 27 de outubro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, a Embaixada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do Japão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teve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a</w:t>
      </w:r>
      <w:r w:rsidRPr="00CB3DD9">
        <w:rPr>
          <w:rFonts w:ascii="Times New Roman" w:hAnsi="Times New Roman" w:cs="Times New Roman" w:hint="eastAsia"/>
          <w:sz w:val="24"/>
          <w:szCs w:val="26"/>
          <w:lang w:val="pt-PT"/>
        </w:rPr>
        <w:t xml:space="preserve"> primeira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cerimônia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de assinatura dos contratos de doação do ano 2011 para o Programa de Assistência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para Projectos Comunitários</w:t>
      </w:r>
      <w:r w:rsidRPr="00CB3DD9">
        <w:rPr>
          <w:rStyle w:val="hps"/>
          <w:rFonts w:ascii="Times New Roman" w:hAnsi="Times New Roman" w:cs="Times New Roman" w:hint="eastAsia"/>
          <w:sz w:val="24"/>
          <w:szCs w:val="26"/>
          <w:lang w:val="pt-PT"/>
        </w:rPr>
        <w:t>, e 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Conselheiro Hamada </w:t>
      </w:r>
      <w:r w:rsidRPr="00CB3DD9">
        <w:rPr>
          <w:rFonts w:ascii="Times New Roman" w:hAnsi="Times New Roman" w:cs="Times New Roman" w:hint="eastAsia"/>
          <w:sz w:val="24"/>
          <w:szCs w:val="26"/>
          <w:lang w:val="pt-PT"/>
        </w:rPr>
        <w:t xml:space="preserve">da Embaixada 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>e os representantes de duas ONGs assinaram os contratos. Os detalhes de cada projeto são os seguintes.</w:t>
      </w:r>
    </w:p>
    <w:p w:rsidR="005947A8" w:rsidRPr="0086785F" w:rsidRDefault="00205EB0" w:rsidP="0086785F">
      <w:pPr>
        <w:ind w:firstLine="720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drawing>
          <wp:anchor distT="0" distB="0" distL="114300" distR="114300" simplePos="0" relativeHeight="251662332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39370</wp:posOffset>
            </wp:positionV>
            <wp:extent cx="2474595" cy="3743960"/>
            <wp:effectExtent l="19050" t="0" r="1905" b="0"/>
            <wp:wrapThrough wrapText="bothSides">
              <wp:wrapPolygon edited="0">
                <wp:start x="-166" y="0"/>
                <wp:lineTo x="-166" y="21541"/>
                <wp:lineTo x="21617" y="21541"/>
                <wp:lineTo x="21617" y="0"/>
                <wp:lineTo x="-166" y="0"/>
              </wp:wrapPolygon>
            </wp:wrapThrough>
            <wp:docPr id="5" name="Picture 5" descr="Y:\GGP\GGP\FY_2011\2nd_GC_Ceremony\GC_2011\DSC02416_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GGP\GGP\FY_2011\2nd_GC_Ceremony\GC_2011\DSC02416_smal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3E5">
        <w:rPr>
          <w:rFonts w:ascii="ＭＳ ゴシック" w:eastAsia="ＭＳ ゴシック" w:cs="ＭＳ ゴシック"/>
          <w:noProof/>
          <w:szCs w:val="24"/>
        </w:rPr>
        <w:drawing>
          <wp:anchor distT="0" distB="0" distL="114300" distR="114300" simplePos="0" relativeHeight="251661307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39370</wp:posOffset>
            </wp:positionV>
            <wp:extent cx="3472180" cy="2061845"/>
            <wp:effectExtent l="19050" t="0" r="0" b="0"/>
            <wp:wrapThrough wrapText="bothSides">
              <wp:wrapPolygon edited="0">
                <wp:start x="-119" y="0"/>
                <wp:lineTo x="-119" y="21354"/>
                <wp:lineTo x="21568" y="21354"/>
                <wp:lineTo x="21568" y="0"/>
                <wp:lineTo x="-119" y="0"/>
              </wp:wrapPolygon>
            </wp:wrapThrough>
            <wp:docPr id="4" name="Picture 4" descr="Y:\GGP\GGP\FY_2011\2nd_GC_Ceremony\GC_2011\DSC0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GGP\GGP\FY_2011\2nd_GC_Ceremony\GC_2011\DSC02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E70" w:rsidRPr="0086785F" w:rsidRDefault="00022E70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06235A" w:rsidRPr="0086785F" w:rsidRDefault="0006235A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AE2115" w:rsidRPr="0086785F" w:rsidRDefault="00AE2115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753A54" w:rsidRPr="0086785F" w:rsidRDefault="00753A54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A25EC2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505.95pt;margin-top:9.35pt;width:280.75pt;height:16.6pt;z-index:251682816;mso-width-relative:margin;mso-height-relative:margin" stroked="f">
            <v:textbox style="mso-next-textbox:#_x0000_s1040">
              <w:txbxContent>
                <w:p w:rsidR="00D733E5" w:rsidRPr="0043661A" w:rsidRDefault="00D733E5" w:rsidP="0086785F">
                  <w:pP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</w:pPr>
                  <w:r w:rsidRPr="0043661A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A 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f</w:t>
                  </w:r>
                  <w:r w:rsidRPr="0043661A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oto de Grupo em 27 de Octubro</w:t>
                  </w:r>
                </w:p>
                <w:p w:rsidR="00D733E5" w:rsidRPr="0086785F" w:rsidRDefault="00D733E5" w:rsidP="0086785F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05EB0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drawing>
          <wp:anchor distT="0" distB="0" distL="114300" distR="114300" simplePos="0" relativeHeight="251663357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109855</wp:posOffset>
            </wp:positionV>
            <wp:extent cx="3472180" cy="2089785"/>
            <wp:effectExtent l="19050" t="0" r="0" b="0"/>
            <wp:wrapThrough wrapText="bothSides">
              <wp:wrapPolygon edited="0">
                <wp:start x="-119" y="0"/>
                <wp:lineTo x="-119" y="21462"/>
                <wp:lineTo x="21568" y="21462"/>
                <wp:lineTo x="21568" y="0"/>
                <wp:lineTo x="-119" y="0"/>
              </wp:wrapPolygon>
            </wp:wrapThrough>
            <wp:docPr id="6" name="Picture 6" descr="Y:\GGP\GGP\FY_2011\2nd_GC_Ceremony\GC_2011\DSC02242_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GGP\GGP\FY_2011\2nd_GC_Ceremony\GC_2011\DSC02242_small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574EC" w:rsidRPr="0086785F" w:rsidRDefault="00A25EC2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  <w:r w:rsidRPr="00A25EC2">
        <w:rPr>
          <w:rFonts w:ascii="ＭＳ ゴシック" w:eastAsia="ＭＳ ゴシック" w:cs="ＭＳ ゴシック"/>
          <w:noProof/>
          <w:szCs w:val="24"/>
          <w:lang w:val="ja-JP" w:eastAsia="zh-TW"/>
        </w:rPr>
        <w:pict>
          <v:shape id="_x0000_s1034" type="#_x0000_t202" style="position:absolute;left:0;text-align:left;margin-left:-210.95pt;margin-top:11.65pt;width:240.35pt;height:32.75pt;z-index:251674624;mso-width-relative:margin;mso-height-relative:margin" stroked="f">
            <v:textbox style="mso-next-textbox:#_x0000_s1034">
              <w:txbxContent>
                <w:p w:rsidR="00D733E5" w:rsidRPr="00DB1B3F" w:rsidRDefault="00D733E5" w:rsidP="0086785F">
                  <w:pPr>
                    <w:spacing w:after="0" w:line="240" w:lineRule="auto"/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</w:pPr>
                  <w:r>
                    <w:rPr>
                      <w:rFonts w:ascii="Times New Roman" w:eastAsia="ＭＳ ゴシック" w:hAnsi="Times New Roman" w:cs="Times New Roman" w:hint="eastAsia"/>
                      <w:sz w:val="21"/>
                      <w:lang w:val="pt-PT"/>
                    </w:rPr>
                    <w:t>↑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O </w:t>
                  </w:r>
                  <w:r w:rsidRPr="00DB1B3F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Conselheiro Hamada e 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o </w:t>
                  </w:r>
                  <w:r w:rsidRPr="00DB1B3F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Representante d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a</w:t>
                  </w:r>
                  <w:r>
                    <w:rPr>
                      <w:rFonts w:ascii="Times New Roman" w:eastAsia="ＭＳ ゴシック" w:hAnsi="Times New Roman" w:cs="Times New Roman" w:hint="eastAsia"/>
                      <w:sz w:val="21"/>
                      <w:lang w:val="pt-PT"/>
                    </w:rPr>
                    <w:t xml:space="preserve"> </w:t>
                  </w:r>
                  <w:r w:rsidRPr="00DB1B3F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AAIM</w:t>
                  </w:r>
                </w:p>
                <w:p w:rsidR="00D733E5" w:rsidRPr="0086785F" w:rsidRDefault="00D733E5" w:rsidP="0086785F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2574EC" w:rsidRDefault="002574EC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05EB0" w:rsidRDefault="00205EB0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05EB0" w:rsidRDefault="00A25EC2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pict>
          <v:shape id="_x0000_s1035" type="#_x0000_t202" style="position:absolute;left:0;text-align:left;margin-left:11.3pt;margin-top:2.65pt;width:227.9pt;height:32.75pt;z-index:251697152;mso-width-relative:margin;mso-height-relative:margin" stroked="f">
            <v:textbox style="mso-next-textbox:#_x0000_s1035">
              <w:txbxContent>
                <w:p w:rsidR="00D733E5" w:rsidRPr="00DB1B3F" w:rsidRDefault="00D733E5" w:rsidP="0086785F">
                  <w:pPr>
                    <w:rPr>
                      <w:rFonts w:ascii="Times New Roman" w:hAnsi="Times New Roman" w:cs="Times New Roman"/>
                      <w:sz w:val="21"/>
                      <w:lang w:val="pt-PT"/>
                    </w:rPr>
                  </w:pPr>
                  <w:r>
                    <w:rPr>
                      <w:rStyle w:val="hps"/>
                      <w:rFonts w:ascii="Times New Roman" w:hAnsi="Times New Roman" w:cs="Times New Roman" w:hint="eastAsia"/>
                      <w:sz w:val="21"/>
                      <w:lang w:val="pt-PT"/>
                    </w:rPr>
                    <w:t>←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 xml:space="preserve">Representantes de </w:t>
                  </w:r>
                  <w:r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C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ada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ONG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A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 xml:space="preserve">ssina o </w:t>
                  </w:r>
                  <w:r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C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ontrato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(na foto é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o 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representante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da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</w:t>
                  </w:r>
                  <w:r w:rsidRPr="00DB1B3F">
                    <w:rPr>
                      <w:rStyle w:val="hps"/>
                      <w:rFonts w:ascii="Times New Roman" w:hAnsi="Times New Roman" w:cs="Times New Roman"/>
                      <w:sz w:val="21"/>
                      <w:lang w:val="pt-PT"/>
                    </w:rPr>
                    <w:t>AMAI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>)</w:t>
                  </w:r>
                </w:p>
                <w:p w:rsidR="00D733E5" w:rsidRPr="0086785F" w:rsidRDefault="00D733E5" w:rsidP="0086785F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205EB0" w:rsidRDefault="00205EB0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205EB0" w:rsidRPr="0086785F" w:rsidRDefault="00205EB0" w:rsidP="00AE2115">
      <w:pPr>
        <w:spacing w:after="0" w:line="240" w:lineRule="auto"/>
        <w:ind w:firstLine="720"/>
        <w:rPr>
          <w:rFonts w:ascii="ＭＳ ゴシック" w:eastAsia="ＭＳ ゴシック" w:cs="ＭＳ ゴシック"/>
          <w:szCs w:val="24"/>
          <w:lang w:val="pt-PT"/>
        </w:rPr>
      </w:pPr>
    </w:p>
    <w:p w:rsidR="00C22170" w:rsidRPr="0086785F" w:rsidRDefault="00A25EC2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  <w:r w:rsidRPr="00A25EC2">
        <w:rPr>
          <w:rFonts w:ascii="ＭＳ ゴシック" w:eastAsia="ＭＳ ゴシック" w:cs="ＭＳ ゴシック"/>
          <w:noProof/>
          <w:szCs w:val="24"/>
          <w:lang w:val="ja-JP" w:eastAsia="zh-TW"/>
        </w:rPr>
        <w:pict>
          <v:shape id="_x0000_s1027" type="#_x0000_t202" style="position:absolute;margin-left:-8.2pt;margin-top:4.65pt;width:550.95pt;height:77.95pt;z-index:251666432;mso-width-relative:margin;mso-height-relative:margin" stroked="f">
            <v:textbox style="mso-next-textbox:#_x0000_s1027">
              <w:txbxContent>
                <w:p w:rsidR="00D733E5" w:rsidRPr="00CB3DD9" w:rsidRDefault="00D733E5" w:rsidP="0086785F">
                  <w:pPr>
                    <w:ind w:firstLine="720"/>
                    <w:rPr>
                      <w:rFonts w:ascii="ＭＳ ゴシック" w:eastAsia="ＭＳ ゴシック" w:cs="ＭＳ ゴシック"/>
                      <w:sz w:val="21"/>
                      <w:szCs w:val="24"/>
                      <w:lang w:val="pt-PT"/>
                    </w:rPr>
                  </w:pP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 xml:space="preserve">A Associação das Amigos da Ilha de Moçambique (AAIM) irá implementar “O Projecto de Renovação da EPC Vinte Cinco de Junho 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na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 xml:space="preserve"> Ilha de Moçamabique, Nampula” 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com a doa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ção da Embaixada (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94,803 USD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)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 xml:space="preserve"> 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para melhorar o ambiente educacional e sanitário. O projecto beneficiará mais de 400 alunos e professores na escola.</w:t>
                  </w:r>
                </w:p>
                <w:p w:rsidR="00D733E5" w:rsidRPr="00CB3DD9" w:rsidRDefault="00D733E5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</v:shape>
        </w:pict>
      </w:r>
    </w:p>
    <w:p w:rsidR="00C22170" w:rsidRPr="0086785F" w:rsidRDefault="00C22170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C22170" w:rsidRPr="0086785F" w:rsidRDefault="00C22170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C22170" w:rsidRPr="0086785F" w:rsidRDefault="00C22170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0A02DC" w:rsidRPr="0086785F" w:rsidRDefault="00A25EC2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pict>
          <v:shape id="_x0000_s1028" type="#_x0000_t202" style="position:absolute;margin-left:-8.2pt;margin-top:12.9pt;width:550.95pt;height:86.95pt;z-index:251667456;mso-width-relative:margin;mso-height-relative:margin" stroked="f">
            <v:textbox style="mso-next-textbox:#_x0000_s1028">
              <w:txbxContent>
                <w:p w:rsidR="00D733E5" w:rsidRPr="00CB3DD9" w:rsidRDefault="00D733E5" w:rsidP="00CB3DD9">
                  <w:pPr>
                    <w:ind w:firstLine="720"/>
                    <w:rPr>
                      <w:sz w:val="21"/>
                      <w:lang w:val="pt-PT"/>
                    </w:rPr>
                  </w:pP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Associação Moçambicana de Assistênsia ao Idoso (AMAI), através de doação da Embaixada (79,890 USD), irá implementar o “Projecto de Construção e Reabilita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ção de Furos na Machava, Maputo</w:t>
                  </w: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” para construir e reabitar 19 furos e garantir assim um melhor acesso à água potável para cerca de mais de 20.000 pessoas em 4 comunidades de Machava.  </w:t>
                  </w:r>
                </w:p>
                <w:p w:rsidR="00D733E5" w:rsidRPr="00CB3DD9" w:rsidRDefault="00D733E5" w:rsidP="00CB3DD9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</v:shape>
        </w:pict>
      </w:r>
      <w:r w:rsidR="00AE2115" w:rsidRPr="0086785F">
        <w:rPr>
          <w:rFonts w:ascii="ＭＳ ゴシック" w:eastAsia="ＭＳ ゴシック" w:cs="ＭＳ ゴシック" w:hint="eastAsia"/>
          <w:szCs w:val="24"/>
          <w:lang w:val="pt-PT"/>
        </w:rPr>
        <w:tab/>
      </w:r>
    </w:p>
    <w:p w:rsidR="000A02DC" w:rsidRPr="0086785F" w:rsidRDefault="000A02DC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0A02DC" w:rsidRPr="0086785F" w:rsidRDefault="000A02DC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0A02DC" w:rsidRPr="0086785F" w:rsidRDefault="000A02DC" w:rsidP="00753A54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AE2115" w:rsidRPr="0086785F" w:rsidRDefault="00AE2115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AE2115" w:rsidRPr="0086785F" w:rsidRDefault="00A25EC2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pict>
          <v:shape id="_x0000_s1045" type="#_x0000_t202" style="position:absolute;margin-left:-8.2pt;margin-top:13.8pt;width:552.75pt;height:73.05pt;z-index:251687936;mso-width-relative:margin;mso-height-relative:margin" stroked="f">
            <v:textbox style="mso-next-textbox:#_x0000_s1045">
              <w:txbxContent>
                <w:p w:rsidR="00D733E5" w:rsidRPr="00CB3DD9" w:rsidRDefault="00D733E5" w:rsidP="00CB3DD9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6"/>
                      <w:lang w:val="pt-PT"/>
                    </w:rPr>
                  </w:pP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Os representantes das ONGs participaram da Cerimonia de Doação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foram </w:t>
                  </w: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acompanhados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pelo </w:t>
                  </w: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representante do Ministério dos Negócios Estrangeiros e Cooperação (MINEC). Estiveram presentes ainda os representantes da imprensa como STV, MIRAMAR, RTP entre outros, onde foi possível verificar-se alguns artigos sobre a cerimônia no jornal noticial.</w:t>
                  </w:r>
                </w:p>
                <w:p w:rsidR="00D733E5" w:rsidRPr="00CB3DD9" w:rsidRDefault="00D733E5" w:rsidP="00CB3DD9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</v:shape>
        </w:pict>
      </w:r>
    </w:p>
    <w:p w:rsidR="00AE2115" w:rsidRPr="0086785F" w:rsidRDefault="00AE2115" w:rsidP="00BA20FB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</w:p>
    <w:p w:rsidR="00BA20FB" w:rsidRPr="00CB3DD9" w:rsidRDefault="00A25EC2" w:rsidP="00236FE0">
      <w:pPr>
        <w:spacing w:after="0" w:line="240" w:lineRule="auto"/>
        <w:rPr>
          <w:rFonts w:ascii="ＭＳ ゴシック" w:eastAsia="ＭＳ ゴシック" w:cs="ＭＳ ゴシック"/>
          <w:szCs w:val="24"/>
          <w:lang w:val="pt-PT"/>
        </w:rPr>
      </w:pPr>
      <w:r>
        <w:rPr>
          <w:rFonts w:ascii="ＭＳ ゴシック" w:eastAsia="ＭＳ ゴシック" w:cs="ＭＳ ゴシック"/>
          <w:noProof/>
          <w:szCs w:val="24"/>
        </w:rPr>
        <w:pict>
          <v:shape id="_x0000_s1037" type="#_x0000_t202" style="position:absolute;margin-left:-220.7pt;margin-top:1.05pt;width:212.5pt;height:20.15pt;z-index:251677696;mso-width-relative:margin;mso-height-relative:margin" stroked="f">
            <v:textbox style="mso-next-textbox:#_x0000_s1037">
              <w:txbxContent>
                <w:p w:rsidR="00D733E5" w:rsidRPr="008F1DFB" w:rsidRDefault="00D733E5" w:rsidP="00022E7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1DFB">
                    <w:rPr>
                      <w:rFonts w:ascii="ＭＳ ゴシック" w:eastAsia="ＭＳ ゴシック" w:hAnsi="ＭＳ ゴシック" w:hint="eastAsia"/>
                      <w:sz w:val="18"/>
                    </w:rPr>
                    <w:t>イタリア・ミッションセンターの代表者と</w:t>
                  </w:r>
                </w:p>
              </w:txbxContent>
            </v:textbox>
          </v:shape>
        </w:pict>
      </w:r>
    </w:p>
    <w:sectPr w:rsidR="00BA20FB" w:rsidRPr="00CB3DD9" w:rsidSect="00762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DC" w:rsidRDefault="000505DC" w:rsidP="00784192">
      <w:pPr>
        <w:spacing w:after="0" w:line="240" w:lineRule="auto"/>
      </w:pPr>
      <w:r>
        <w:separator/>
      </w:r>
    </w:p>
  </w:endnote>
  <w:endnote w:type="continuationSeparator" w:id="0">
    <w:p w:rsidR="000505DC" w:rsidRDefault="000505DC" w:rsidP="007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DC" w:rsidRDefault="000505DC" w:rsidP="00784192">
      <w:pPr>
        <w:spacing w:after="0" w:line="240" w:lineRule="auto"/>
      </w:pPr>
      <w:r>
        <w:separator/>
      </w:r>
    </w:p>
  </w:footnote>
  <w:footnote w:type="continuationSeparator" w:id="0">
    <w:p w:rsidR="000505DC" w:rsidRDefault="000505DC" w:rsidP="00784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2D14"/>
    <w:rsid w:val="00022E70"/>
    <w:rsid w:val="000435E9"/>
    <w:rsid w:val="000505DC"/>
    <w:rsid w:val="00055827"/>
    <w:rsid w:val="0006235A"/>
    <w:rsid w:val="000A02DC"/>
    <w:rsid w:val="001218C4"/>
    <w:rsid w:val="001A1996"/>
    <w:rsid w:val="001B78DF"/>
    <w:rsid w:val="001C6E85"/>
    <w:rsid w:val="002053FD"/>
    <w:rsid w:val="00205EB0"/>
    <w:rsid w:val="00236FE0"/>
    <w:rsid w:val="002556DB"/>
    <w:rsid w:val="002574EC"/>
    <w:rsid w:val="003A456A"/>
    <w:rsid w:val="004056EA"/>
    <w:rsid w:val="004102D3"/>
    <w:rsid w:val="0044580E"/>
    <w:rsid w:val="00463344"/>
    <w:rsid w:val="004C3E86"/>
    <w:rsid w:val="004D19A4"/>
    <w:rsid w:val="00530B67"/>
    <w:rsid w:val="005328F6"/>
    <w:rsid w:val="0055090D"/>
    <w:rsid w:val="005947A8"/>
    <w:rsid w:val="005B1407"/>
    <w:rsid w:val="0065363F"/>
    <w:rsid w:val="00681E6B"/>
    <w:rsid w:val="006E2F57"/>
    <w:rsid w:val="00753A54"/>
    <w:rsid w:val="007627CC"/>
    <w:rsid w:val="00784192"/>
    <w:rsid w:val="007F541F"/>
    <w:rsid w:val="00814DCF"/>
    <w:rsid w:val="0086515A"/>
    <w:rsid w:val="0086785F"/>
    <w:rsid w:val="00873185"/>
    <w:rsid w:val="0089597A"/>
    <w:rsid w:val="008F1DFB"/>
    <w:rsid w:val="00916BBF"/>
    <w:rsid w:val="0093001F"/>
    <w:rsid w:val="009518C0"/>
    <w:rsid w:val="009C652F"/>
    <w:rsid w:val="009E1EDC"/>
    <w:rsid w:val="00A2445B"/>
    <w:rsid w:val="00A25EC2"/>
    <w:rsid w:val="00A419DA"/>
    <w:rsid w:val="00A84751"/>
    <w:rsid w:val="00A84FBF"/>
    <w:rsid w:val="00AC03E0"/>
    <w:rsid w:val="00AD745A"/>
    <w:rsid w:val="00AE2115"/>
    <w:rsid w:val="00AE69A8"/>
    <w:rsid w:val="00B12AD9"/>
    <w:rsid w:val="00B9510D"/>
    <w:rsid w:val="00B978A3"/>
    <w:rsid w:val="00BA20FB"/>
    <w:rsid w:val="00BA5A8D"/>
    <w:rsid w:val="00BD73E9"/>
    <w:rsid w:val="00C22170"/>
    <w:rsid w:val="00C46C4E"/>
    <w:rsid w:val="00C47BDF"/>
    <w:rsid w:val="00C62038"/>
    <w:rsid w:val="00C73EC1"/>
    <w:rsid w:val="00CB3DD9"/>
    <w:rsid w:val="00CD1F28"/>
    <w:rsid w:val="00CD33DD"/>
    <w:rsid w:val="00D71904"/>
    <w:rsid w:val="00D733E5"/>
    <w:rsid w:val="00D87C56"/>
    <w:rsid w:val="00E028C5"/>
    <w:rsid w:val="00E61D88"/>
    <w:rsid w:val="00E72D14"/>
    <w:rsid w:val="00E96B0A"/>
    <w:rsid w:val="00F40D72"/>
    <w:rsid w:val="00FA2E0B"/>
    <w:rsid w:val="00FB1A2C"/>
    <w:rsid w:val="00FC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873185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86785F"/>
  </w:style>
  <w:style w:type="paragraph" w:styleId="a5">
    <w:name w:val="header"/>
    <w:basedOn w:val="a"/>
    <w:link w:val="a6"/>
    <w:uiPriority w:val="99"/>
    <w:semiHidden/>
    <w:unhideWhenUsed/>
    <w:rsid w:val="00784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84192"/>
  </w:style>
  <w:style w:type="paragraph" w:styleId="a7">
    <w:name w:val="footer"/>
    <w:basedOn w:val="a"/>
    <w:link w:val="a8"/>
    <w:uiPriority w:val="99"/>
    <w:semiHidden/>
    <w:unhideWhenUsed/>
    <w:rsid w:val="00784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84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9C5-B480-450D-AC10-A7B91893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d10375</dc:creator>
  <cp:keywords/>
  <dc:description/>
  <cp:lastModifiedBy>外務省</cp:lastModifiedBy>
  <cp:revision>2</cp:revision>
  <dcterms:created xsi:type="dcterms:W3CDTF">2011-12-16T07:44:00Z</dcterms:created>
  <dcterms:modified xsi:type="dcterms:W3CDTF">2011-12-16T07:44:00Z</dcterms:modified>
</cp:coreProperties>
</file>